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ff0000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0000ff"/>
          <w:sz w:val="60"/>
          <w:szCs w:val="6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44"/>
          <w:szCs w:val="44"/>
          <w:rtl w:val="0"/>
        </w:rPr>
        <w:t xml:space="preserve">                     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0000ff"/>
          <w:sz w:val="60"/>
          <w:szCs w:val="60"/>
          <w:rtl w:val="0"/>
        </w:rPr>
        <w:t xml:space="preserve">June 2025</w:t>
      </w:r>
    </w:p>
    <w:tbl>
      <w:tblPr>
        <w:tblStyle w:val="Table1"/>
        <w:tblW w:w="13860.0" w:type="dxa"/>
        <w:jc w:val="left"/>
        <w:tblInd w:w="-83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1980"/>
        <w:gridCol w:w="1980"/>
        <w:gridCol w:w="1980"/>
        <w:gridCol w:w="1980"/>
        <w:gridCol w:w="1980"/>
        <w:gridCol w:w="1980"/>
        <w:gridCol w:w="1980"/>
        <w:tblGridChange w:id="0">
          <w:tblGrid>
            <w:gridCol w:w="1980"/>
            <w:gridCol w:w="1980"/>
            <w:gridCol w:w="1980"/>
            <w:gridCol w:w="1980"/>
            <w:gridCol w:w="1980"/>
            <w:gridCol w:w="1980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                                         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5          2:00 - 3:55  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3    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5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6   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7                                               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7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`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9                                                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   </w:t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10                                            </w:t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 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11                                                       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12                                                       </w:t>
            </w:r>
          </w:p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13                                              </w:t>
            </w:r>
          </w:p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8:30 - 10:50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10:50 - 11:10 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11:15 - 1:30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1:30 - 2:00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14</w:t>
            </w:r>
          </w:p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15</w:t>
            </w:r>
          </w:p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16                                            </w:t>
            </w:r>
          </w:p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Summer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17                                 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Summer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Summer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19                                           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Summer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20                                                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Summer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21                            </w:t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8D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Summer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24     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Summer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Summer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26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Summer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27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Summer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28 </w:t>
            </w:r>
          </w:p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B4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30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Summer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     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Summer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Summer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Summer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4    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Summer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5                                               </w:t>
            </w:r>
          </w:p>
        </w:tc>
      </w:tr>
    </w:tbl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ldeano">
    <w:embedRegular w:fontKey="{00000000-0000-0000-0000-000000000000}" r:id="rId1" w:subsetted="0"/>
  </w:font>
  <w:font w:name="Dancing Script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pPr/>
      <w:rPr/>
      <w:tcPr>
        <w:shd w:fill="444d26" w:val="clear"/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ldeano-regular.ttf"/><Relationship Id="rId2" Type="http://schemas.openxmlformats.org/officeDocument/2006/relationships/font" Target="fonts/DancingScript-regular.ttf"/><Relationship Id="rId3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